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7681" w14:textId="449588DC" w:rsidR="001914E8" w:rsidRPr="00590992" w:rsidRDefault="00ED15FA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37B047A0" wp14:editId="7711DCEF">
            <wp:simplePos x="0" y="0"/>
            <wp:positionH relativeFrom="column">
              <wp:posOffset>5097145</wp:posOffset>
            </wp:positionH>
            <wp:positionV relativeFrom="paragraph">
              <wp:posOffset>-869315</wp:posOffset>
            </wp:positionV>
            <wp:extent cx="1294765" cy="1297709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92" cy="13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9E" w:rsidRPr="00590992">
        <w:rPr>
          <w:b/>
          <w:sz w:val="22"/>
        </w:rPr>
        <w:t>Ge</w:t>
      </w:r>
      <w:r w:rsidR="001914E8" w:rsidRPr="00590992">
        <w:rPr>
          <w:b/>
          <w:sz w:val="22"/>
        </w:rPr>
        <w:t>zocht: procesleider Psychosociale Hulpverlening</w:t>
      </w:r>
    </w:p>
    <w:p w14:paraId="11BC1087" w14:textId="55AA00B1" w:rsidR="001914E8" w:rsidRPr="00590992" w:rsidRDefault="005907B9">
      <w:pPr>
        <w:rPr>
          <w:szCs w:val="20"/>
        </w:rPr>
      </w:pPr>
      <w:r w:rsidRPr="00590992">
        <w:rPr>
          <w:szCs w:val="20"/>
        </w:rPr>
        <w:t>(neventaak voor 1 à 2 uren per maand</w:t>
      </w:r>
      <w:r w:rsidR="00590992" w:rsidRPr="00590992">
        <w:rPr>
          <w:szCs w:val="20"/>
        </w:rPr>
        <w:t xml:space="preserve"> + bereikbaarheidsdiensten</w:t>
      </w:r>
      <w:r w:rsidRPr="00590992">
        <w:rPr>
          <w:szCs w:val="20"/>
        </w:rPr>
        <w:t xml:space="preserve">) </w:t>
      </w:r>
    </w:p>
    <w:p w14:paraId="76D2C077" w14:textId="77777777" w:rsidR="001914E8" w:rsidRPr="00590992" w:rsidRDefault="001914E8">
      <w:pPr>
        <w:rPr>
          <w:szCs w:val="20"/>
        </w:rPr>
      </w:pPr>
    </w:p>
    <w:p w14:paraId="09223FD0" w14:textId="77777777" w:rsidR="00ED15FA" w:rsidRDefault="00427F9E" w:rsidP="00524E3C">
      <w:pPr>
        <w:rPr>
          <w:szCs w:val="20"/>
        </w:rPr>
      </w:pPr>
      <w:r w:rsidRPr="00590992">
        <w:rPr>
          <w:szCs w:val="20"/>
        </w:rPr>
        <w:t>P</w:t>
      </w:r>
      <w:r w:rsidR="001914E8" w:rsidRPr="00590992">
        <w:rPr>
          <w:szCs w:val="20"/>
        </w:rPr>
        <w:t xml:space="preserve">sychosociale hulpverlening </w:t>
      </w:r>
      <w:r w:rsidRPr="00590992">
        <w:rPr>
          <w:szCs w:val="20"/>
        </w:rPr>
        <w:t>(PSH) is éé</w:t>
      </w:r>
      <w:r w:rsidR="001914E8" w:rsidRPr="00590992">
        <w:rPr>
          <w:szCs w:val="20"/>
        </w:rPr>
        <w:t xml:space="preserve">n van de processen </w:t>
      </w:r>
      <w:r w:rsidRPr="00590992">
        <w:rPr>
          <w:szCs w:val="20"/>
        </w:rPr>
        <w:t>uit de Wet Publieke gezondheid, welke de GGD uitvoer</w:t>
      </w:r>
      <w:r w:rsidR="00590992" w:rsidRPr="00590992">
        <w:rPr>
          <w:szCs w:val="20"/>
        </w:rPr>
        <w:t>t</w:t>
      </w:r>
      <w:r w:rsidR="001914E8" w:rsidRPr="00590992">
        <w:rPr>
          <w:szCs w:val="20"/>
        </w:rPr>
        <w:t xml:space="preserve">. De andere processen </w:t>
      </w:r>
      <w:r w:rsidRPr="00590992">
        <w:rPr>
          <w:szCs w:val="20"/>
        </w:rPr>
        <w:t>zijn</w:t>
      </w:r>
      <w:r w:rsidR="001914E8" w:rsidRPr="00590992">
        <w:rPr>
          <w:szCs w:val="20"/>
        </w:rPr>
        <w:t xml:space="preserve"> Medische Milieukunde, Gezondheidsonderzoek </w:t>
      </w:r>
      <w:r w:rsidRPr="00590992">
        <w:rPr>
          <w:szCs w:val="20"/>
        </w:rPr>
        <w:t>na</w:t>
      </w:r>
      <w:r w:rsidR="001914E8" w:rsidRPr="00590992">
        <w:rPr>
          <w:szCs w:val="20"/>
        </w:rPr>
        <w:t xml:space="preserve"> Rampen, Infectieziektenbestrijding en crisiscommunicatie. </w:t>
      </w:r>
    </w:p>
    <w:p w14:paraId="0E2E82A1" w14:textId="0355AEDE" w:rsidR="001914E8" w:rsidRPr="00590992" w:rsidRDefault="001914E8" w:rsidP="00524E3C">
      <w:pPr>
        <w:rPr>
          <w:szCs w:val="20"/>
        </w:rPr>
      </w:pPr>
      <w:r w:rsidRPr="00590992">
        <w:rPr>
          <w:szCs w:val="20"/>
        </w:rPr>
        <w:t xml:space="preserve">Elk proces heeft </w:t>
      </w:r>
      <w:r w:rsidR="00427F9E" w:rsidRPr="00590992">
        <w:rPr>
          <w:szCs w:val="20"/>
        </w:rPr>
        <w:t xml:space="preserve">vier </w:t>
      </w:r>
      <w:r w:rsidRPr="00590992">
        <w:rPr>
          <w:szCs w:val="20"/>
        </w:rPr>
        <w:t>procesleider</w:t>
      </w:r>
      <w:r w:rsidR="00427F9E" w:rsidRPr="00590992">
        <w:rPr>
          <w:szCs w:val="20"/>
        </w:rPr>
        <w:t>s</w:t>
      </w:r>
      <w:r w:rsidRPr="00590992">
        <w:rPr>
          <w:szCs w:val="20"/>
        </w:rPr>
        <w:t xml:space="preserve">. </w:t>
      </w:r>
    </w:p>
    <w:p w14:paraId="29561575" w14:textId="77777777" w:rsidR="001914E8" w:rsidRPr="00590992" w:rsidRDefault="001914E8" w:rsidP="00524E3C">
      <w:pPr>
        <w:rPr>
          <w:szCs w:val="20"/>
        </w:rPr>
      </w:pPr>
    </w:p>
    <w:p w14:paraId="66820178" w14:textId="77777777" w:rsidR="001914E8" w:rsidRPr="00590992" w:rsidRDefault="001914E8" w:rsidP="00524E3C">
      <w:pPr>
        <w:rPr>
          <w:i/>
          <w:szCs w:val="20"/>
          <w:u w:val="single"/>
        </w:rPr>
      </w:pPr>
      <w:r w:rsidRPr="00590992">
        <w:rPr>
          <w:i/>
          <w:szCs w:val="20"/>
          <w:u w:val="single"/>
        </w:rPr>
        <w:t>Psychosociale hulpverlening</w:t>
      </w:r>
    </w:p>
    <w:p w14:paraId="247F3BE0" w14:textId="77777777" w:rsidR="001914E8" w:rsidRPr="00590992" w:rsidRDefault="001914E8" w:rsidP="00524E3C">
      <w:pPr>
        <w:rPr>
          <w:szCs w:val="20"/>
        </w:rPr>
      </w:pPr>
      <w:r w:rsidRPr="00590992">
        <w:rPr>
          <w:szCs w:val="20"/>
        </w:rPr>
        <w:t>Het doel van PSH is het managen van (psycho)sociaal maatschappelijke effecten naar aanleiding van incidenten, calamiteiten of rampen, door:</w:t>
      </w:r>
    </w:p>
    <w:p w14:paraId="4028CDB4" w14:textId="77777777" w:rsidR="001914E8" w:rsidRPr="00590992" w:rsidRDefault="001914E8" w:rsidP="00524E3C">
      <w:pPr>
        <w:rPr>
          <w:szCs w:val="20"/>
        </w:rPr>
      </w:pPr>
    </w:p>
    <w:p w14:paraId="7868373F" w14:textId="77777777" w:rsidR="001914E8" w:rsidRPr="00590992" w:rsidRDefault="001914E8" w:rsidP="00524E3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Het afstemmen en coördineren van de benodigde inzet van de partners en partijen in de psychosociale hulpverlening;</w:t>
      </w:r>
    </w:p>
    <w:p w14:paraId="511C6951" w14:textId="3EE82103" w:rsidR="001914E8" w:rsidRPr="00590992" w:rsidRDefault="001914E8" w:rsidP="00524E3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De advisering aan gemeenten en betrokken partijen over aspecten die vanuit het perspectief van psychosociaal welbevinden en daarmee de gezondheid van betrokkenen van belang zijn.</w:t>
      </w:r>
    </w:p>
    <w:p w14:paraId="369A69AC" w14:textId="17408BE0" w:rsidR="00427F9E" w:rsidRPr="00590992" w:rsidRDefault="00427F9E" w:rsidP="00524E3C">
      <w:pPr>
        <w:rPr>
          <w:szCs w:val="20"/>
        </w:rPr>
      </w:pPr>
      <w:r w:rsidRPr="00590992">
        <w:rPr>
          <w:szCs w:val="20"/>
        </w:rPr>
        <w:t>Dit laatste zijn k</w:t>
      </w:r>
      <w:r w:rsidR="001914E8" w:rsidRPr="00590992">
        <w:rPr>
          <w:szCs w:val="20"/>
        </w:rPr>
        <w:t>leinschalige incidenten</w:t>
      </w:r>
      <w:r w:rsidRPr="00590992">
        <w:rPr>
          <w:szCs w:val="20"/>
        </w:rPr>
        <w:t xml:space="preserve">, </w:t>
      </w:r>
      <w:r w:rsidR="001914E8" w:rsidRPr="00590992">
        <w:rPr>
          <w:szCs w:val="20"/>
        </w:rPr>
        <w:t>zoals bijv. een zedenzaak die mogelijk tot maatschappelijke onrust leidt</w:t>
      </w:r>
      <w:r w:rsidRPr="00590992">
        <w:rPr>
          <w:szCs w:val="20"/>
        </w:rPr>
        <w:t xml:space="preserve"> en deze k</w:t>
      </w:r>
      <w:r w:rsidR="001914E8" w:rsidRPr="00590992">
        <w:rPr>
          <w:szCs w:val="20"/>
        </w:rPr>
        <w:t xml:space="preserve">omen </w:t>
      </w:r>
      <w:r w:rsidRPr="00590992">
        <w:rPr>
          <w:szCs w:val="20"/>
        </w:rPr>
        <w:t>enkele</w:t>
      </w:r>
      <w:r w:rsidR="001914E8" w:rsidRPr="00590992">
        <w:rPr>
          <w:szCs w:val="20"/>
        </w:rPr>
        <w:t xml:space="preserve"> ker</w:t>
      </w:r>
      <w:r w:rsidRPr="00590992">
        <w:rPr>
          <w:szCs w:val="20"/>
        </w:rPr>
        <w:t>en</w:t>
      </w:r>
      <w:r w:rsidR="001914E8" w:rsidRPr="00590992">
        <w:rPr>
          <w:szCs w:val="20"/>
        </w:rPr>
        <w:t xml:space="preserve"> per jaar voor. </w:t>
      </w:r>
      <w:r w:rsidRPr="00590992">
        <w:rPr>
          <w:szCs w:val="20"/>
        </w:rPr>
        <w:t>De gemeente treedt dan op als voorzitter van een team, waarin de procesleider PSH gevraagd kan worden mee te denken. Deze kan daarvoor de achterban binnen de GGD raadplegen.</w:t>
      </w:r>
    </w:p>
    <w:p w14:paraId="2242D5C3" w14:textId="77777777" w:rsidR="00427F9E" w:rsidRPr="00590992" w:rsidRDefault="00427F9E" w:rsidP="00524E3C">
      <w:pPr>
        <w:rPr>
          <w:szCs w:val="20"/>
        </w:rPr>
      </w:pPr>
    </w:p>
    <w:p w14:paraId="28F3D7B9" w14:textId="10FDAAE5" w:rsidR="001914E8" w:rsidRPr="00590992" w:rsidRDefault="001914E8" w:rsidP="00524E3C">
      <w:pPr>
        <w:rPr>
          <w:szCs w:val="20"/>
        </w:rPr>
      </w:pPr>
      <w:r w:rsidRPr="00590992">
        <w:rPr>
          <w:szCs w:val="20"/>
        </w:rPr>
        <w:t xml:space="preserve">Grootschalige incidenten waarvoor een PSH-proces nodig is (bijvoorbeeld een busongeluk met schoolkinderen in onze regio) komen </w:t>
      </w:r>
      <w:r w:rsidR="00427F9E" w:rsidRPr="00590992">
        <w:rPr>
          <w:szCs w:val="20"/>
        </w:rPr>
        <w:t>zelden</w:t>
      </w:r>
      <w:r w:rsidRPr="00590992">
        <w:rPr>
          <w:szCs w:val="20"/>
        </w:rPr>
        <w:t xml:space="preserve"> voor</w:t>
      </w:r>
      <w:r w:rsidR="00427F9E" w:rsidRPr="00590992">
        <w:rPr>
          <w:szCs w:val="20"/>
        </w:rPr>
        <w:t>, maar d</w:t>
      </w:r>
      <w:r w:rsidRPr="00590992">
        <w:rPr>
          <w:szCs w:val="20"/>
        </w:rPr>
        <w:t xml:space="preserve">e dienst moet hier </w:t>
      </w:r>
      <w:r w:rsidR="00427F9E" w:rsidRPr="00590992">
        <w:rPr>
          <w:szCs w:val="20"/>
        </w:rPr>
        <w:t>w</w:t>
      </w:r>
      <w:r w:rsidRPr="00590992">
        <w:rPr>
          <w:szCs w:val="20"/>
        </w:rPr>
        <w:t xml:space="preserve">el op voorbereid zijn. </w:t>
      </w:r>
      <w:r w:rsidR="00427F9E" w:rsidRPr="00590992">
        <w:rPr>
          <w:szCs w:val="20"/>
        </w:rPr>
        <w:t xml:space="preserve">De procesleider adviseert </w:t>
      </w:r>
      <w:r w:rsidR="00ED15FA">
        <w:rPr>
          <w:szCs w:val="20"/>
        </w:rPr>
        <w:t>de</w:t>
      </w:r>
      <w:r w:rsidR="00427F9E" w:rsidRPr="00590992">
        <w:rPr>
          <w:szCs w:val="20"/>
        </w:rPr>
        <w:t xml:space="preserve"> GGDGHOR Crisis</w:t>
      </w:r>
      <w:r w:rsidR="00ED15FA">
        <w:rPr>
          <w:szCs w:val="20"/>
        </w:rPr>
        <w:t>organisatie</w:t>
      </w:r>
      <w:r w:rsidR="00427F9E" w:rsidRPr="00590992">
        <w:rPr>
          <w:szCs w:val="20"/>
        </w:rPr>
        <w:t xml:space="preserve"> en coördineert de</w:t>
      </w:r>
      <w:r w:rsidR="005907B9" w:rsidRPr="00590992">
        <w:rPr>
          <w:szCs w:val="20"/>
        </w:rPr>
        <w:t xml:space="preserve"> inzet</w:t>
      </w:r>
      <w:r w:rsidR="00427F9E" w:rsidRPr="00590992">
        <w:rPr>
          <w:szCs w:val="20"/>
        </w:rPr>
        <w:t>. De uitvoering van de hulp wordt doorgaans door Slachtofferhulp Nederland gedaan.</w:t>
      </w:r>
      <w:r w:rsidRPr="00590992">
        <w:rPr>
          <w:szCs w:val="20"/>
        </w:rPr>
        <w:t xml:space="preserve"> </w:t>
      </w:r>
    </w:p>
    <w:p w14:paraId="2DA78C54" w14:textId="77777777" w:rsidR="001914E8" w:rsidRPr="00590992" w:rsidRDefault="001914E8" w:rsidP="00524E3C">
      <w:pPr>
        <w:rPr>
          <w:i/>
          <w:szCs w:val="20"/>
        </w:rPr>
      </w:pPr>
    </w:p>
    <w:p w14:paraId="0FBF4E3B" w14:textId="77777777" w:rsidR="001914E8" w:rsidRPr="00590992" w:rsidRDefault="001914E8" w:rsidP="00524E3C">
      <w:pPr>
        <w:rPr>
          <w:i/>
          <w:szCs w:val="20"/>
          <w:u w:val="single"/>
        </w:rPr>
      </w:pPr>
      <w:r w:rsidRPr="00590992">
        <w:rPr>
          <w:i/>
          <w:szCs w:val="20"/>
          <w:u w:val="single"/>
        </w:rPr>
        <w:t>Piketdienst</w:t>
      </w:r>
    </w:p>
    <w:p w14:paraId="3928ED7F" w14:textId="51117174" w:rsidR="001914E8" w:rsidRPr="00590992" w:rsidRDefault="001914E8" w:rsidP="00524E3C">
      <w:pPr>
        <w:rPr>
          <w:szCs w:val="20"/>
        </w:rPr>
      </w:pPr>
      <w:r w:rsidRPr="00590992">
        <w:rPr>
          <w:szCs w:val="20"/>
        </w:rPr>
        <w:t xml:space="preserve">De </w:t>
      </w:r>
      <w:r w:rsidR="005907B9" w:rsidRPr="00590992">
        <w:rPr>
          <w:szCs w:val="20"/>
        </w:rPr>
        <w:t xml:space="preserve">procesleiders hebben om de vier weken een </w:t>
      </w:r>
      <w:r w:rsidRPr="00590992">
        <w:rPr>
          <w:szCs w:val="20"/>
        </w:rPr>
        <w:t>week</w:t>
      </w:r>
      <w:r w:rsidR="005907B9" w:rsidRPr="00590992">
        <w:rPr>
          <w:szCs w:val="20"/>
        </w:rPr>
        <w:t xml:space="preserve"> (24/7)</w:t>
      </w:r>
      <w:r w:rsidRPr="00590992">
        <w:rPr>
          <w:szCs w:val="20"/>
        </w:rPr>
        <w:t xml:space="preserve"> </w:t>
      </w:r>
      <w:r w:rsidR="005907B9" w:rsidRPr="00590992">
        <w:rPr>
          <w:szCs w:val="20"/>
        </w:rPr>
        <w:t xml:space="preserve">bereikbaarheidsdienst en krijgen daarvoor een </w:t>
      </w:r>
      <w:r w:rsidRPr="00590992">
        <w:rPr>
          <w:szCs w:val="20"/>
        </w:rPr>
        <w:t>piketvergoeding</w:t>
      </w:r>
      <w:r w:rsidR="005907B9" w:rsidRPr="00590992">
        <w:rPr>
          <w:szCs w:val="20"/>
        </w:rPr>
        <w:t xml:space="preserve"> en extra verlofuren</w:t>
      </w:r>
      <w:r w:rsidRPr="00590992">
        <w:rPr>
          <w:szCs w:val="20"/>
        </w:rPr>
        <w:t xml:space="preserve">. Naast de beschikbaarheid voor het piket is er ook tijd voor opleiding, training en oefening. Dit bedraagt ongeveer </w:t>
      </w:r>
      <w:r w:rsidR="00427F9E" w:rsidRPr="00590992">
        <w:rPr>
          <w:szCs w:val="20"/>
        </w:rPr>
        <w:t>1</w:t>
      </w:r>
      <w:r w:rsidR="005907B9" w:rsidRPr="00590992">
        <w:rPr>
          <w:szCs w:val="20"/>
        </w:rPr>
        <w:t>0</w:t>
      </w:r>
      <w:r w:rsidRPr="00590992">
        <w:rPr>
          <w:szCs w:val="20"/>
        </w:rPr>
        <w:t xml:space="preserve"> uur per </w:t>
      </w:r>
      <w:r w:rsidR="008B12E6" w:rsidRPr="00590992">
        <w:rPr>
          <w:szCs w:val="20"/>
        </w:rPr>
        <w:t xml:space="preserve">jaar en vindt plaats binnen werktijd. </w:t>
      </w:r>
    </w:p>
    <w:p w14:paraId="722C0696" w14:textId="77777777" w:rsidR="001914E8" w:rsidRPr="00590992" w:rsidRDefault="001914E8" w:rsidP="00524E3C">
      <w:pPr>
        <w:rPr>
          <w:i/>
          <w:szCs w:val="20"/>
        </w:rPr>
      </w:pPr>
    </w:p>
    <w:p w14:paraId="59CF4A4A" w14:textId="72C6EDDE" w:rsidR="001914E8" w:rsidRPr="00590992" w:rsidRDefault="001914E8" w:rsidP="00524E3C">
      <w:pPr>
        <w:rPr>
          <w:szCs w:val="20"/>
        </w:rPr>
      </w:pPr>
      <w:r w:rsidRPr="00590992">
        <w:rPr>
          <w:i/>
          <w:szCs w:val="20"/>
          <w:u w:val="single"/>
        </w:rPr>
        <w:t xml:space="preserve">We zoeken </w:t>
      </w:r>
      <w:r w:rsidR="00D23844" w:rsidRPr="00590992">
        <w:rPr>
          <w:i/>
          <w:szCs w:val="20"/>
          <w:u w:val="single"/>
        </w:rPr>
        <w:t>collega’s die</w:t>
      </w:r>
    </w:p>
    <w:p w14:paraId="4585B927" w14:textId="7FDA26CD" w:rsidR="001914E8" w:rsidRPr="00590992" w:rsidRDefault="001914E8" w:rsidP="00524E3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Vaardig</w:t>
      </w:r>
      <w:r w:rsidR="005907B9" w:rsidRPr="00590992">
        <w:rPr>
          <w:rFonts w:ascii="Verdana" w:hAnsi="Verdana"/>
          <w:sz w:val="20"/>
          <w:szCs w:val="20"/>
        </w:rPr>
        <w:t xml:space="preserve"> zijn</w:t>
      </w:r>
      <w:r w:rsidRPr="00590992">
        <w:rPr>
          <w:rFonts w:ascii="Verdana" w:hAnsi="Verdana"/>
          <w:sz w:val="20"/>
          <w:szCs w:val="20"/>
        </w:rPr>
        <w:t xml:space="preserve"> in het geven van advies</w:t>
      </w:r>
    </w:p>
    <w:p w14:paraId="0E0AC713" w14:textId="1E750E24" w:rsidR="001914E8" w:rsidRPr="00590992" w:rsidRDefault="001914E8" w:rsidP="00524E3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Situationeel leiding kunnen geven (aan het proces)</w:t>
      </w:r>
    </w:p>
    <w:p w14:paraId="7ACD17D8" w14:textId="77777777" w:rsidR="00D23844" w:rsidRPr="00590992" w:rsidRDefault="005907B9" w:rsidP="00524E3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Binnen 45 minuten in Dordrecht kunnen zijn (en het reguliere werk even kunnen ‘laten vallen’)</w:t>
      </w:r>
    </w:p>
    <w:p w14:paraId="0BAC40D7" w14:textId="6E91BC1A" w:rsidR="005907B9" w:rsidRPr="00590992" w:rsidRDefault="00D23844" w:rsidP="00524E3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Toestemming hebben van de leidinggevende om deze taak op te pakken</w:t>
      </w:r>
    </w:p>
    <w:p w14:paraId="1B55745A" w14:textId="77777777" w:rsidR="008B12E6" w:rsidRPr="00590992" w:rsidRDefault="008B12E6" w:rsidP="00524E3C">
      <w:pPr>
        <w:rPr>
          <w:szCs w:val="20"/>
          <w:u w:val="single"/>
        </w:rPr>
      </w:pPr>
    </w:p>
    <w:p w14:paraId="385D70CB" w14:textId="00D10DBA" w:rsidR="001914E8" w:rsidRPr="00590992" w:rsidRDefault="001914E8" w:rsidP="00524E3C">
      <w:pPr>
        <w:rPr>
          <w:szCs w:val="20"/>
          <w:u w:val="single"/>
        </w:rPr>
      </w:pPr>
      <w:r w:rsidRPr="00590992">
        <w:rPr>
          <w:szCs w:val="20"/>
          <w:u w:val="single"/>
        </w:rPr>
        <w:t>Kerntaken en verantwoordelijkheden</w:t>
      </w:r>
    </w:p>
    <w:p w14:paraId="47076A78" w14:textId="77777777" w:rsidR="00590992" w:rsidRPr="00590992" w:rsidRDefault="00590992" w:rsidP="0059099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Verantwoordelijk voor de inhoudelijke uitvoering proces PSH</w:t>
      </w:r>
    </w:p>
    <w:p w14:paraId="028C6320" w14:textId="77777777" w:rsidR="00590992" w:rsidRPr="00590992" w:rsidRDefault="00590992" w:rsidP="0059099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Inschatting maken over omvang crisis, benodigd personeel, middelen en knelpunten en communicatieboodschap m.b.t. PSH</w:t>
      </w:r>
    </w:p>
    <w:p w14:paraId="5EC37AD2" w14:textId="77777777" w:rsidR="00590992" w:rsidRPr="00590992" w:rsidRDefault="00590992" w:rsidP="0059099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Afstemmen met processen binnen het GGDGHOR ZHZ crisisteam</w:t>
      </w:r>
    </w:p>
    <w:p w14:paraId="0C4BACFA" w14:textId="67EA1207" w:rsidR="00590992" w:rsidRPr="00590992" w:rsidRDefault="00590992" w:rsidP="00590992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90992">
        <w:rPr>
          <w:rFonts w:ascii="Verdana" w:hAnsi="Verdana"/>
          <w:sz w:val="20"/>
          <w:szCs w:val="20"/>
        </w:rPr>
        <w:t>Afstemming proces met andere partijen</w:t>
      </w:r>
    </w:p>
    <w:p w14:paraId="07D53DE5" w14:textId="77777777" w:rsidR="00590992" w:rsidRPr="00590992" w:rsidRDefault="00590992" w:rsidP="00524E3C">
      <w:pPr>
        <w:rPr>
          <w:szCs w:val="20"/>
        </w:rPr>
      </w:pPr>
    </w:p>
    <w:p w14:paraId="37E85BEA" w14:textId="40A73042" w:rsidR="001914E8" w:rsidRPr="00590992" w:rsidRDefault="008B12E6" w:rsidP="00524E3C">
      <w:pPr>
        <w:rPr>
          <w:szCs w:val="20"/>
          <w:u w:val="single"/>
        </w:rPr>
      </w:pPr>
      <w:r w:rsidRPr="00590992">
        <w:rPr>
          <w:szCs w:val="20"/>
          <w:u w:val="single"/>
        </w:rPr>
        <w:t>Informatie en vragen?</w:t>
      </w:r>
    </w:p>
    <w:p w14:paraId="6DC78D50" w14:textId="5E69EBB5" w:rsidR="008B12E6" w:rsidRPr="00590992" w:rsidRDefault="008B12E6" w:rsidP="00524E3C">
      <w:pPr>
        <w:rPr>
          <w:szCs w:val="20"/>
        </w:rPr>
      </w:pPr>
      <w:r w:rsidRPr="00590992">
        <w:rPr>
          <w:szCs w:val="20"/>
        </w:rPr>
        <w:t xml:space="preserve">Ben je geïnteresseerd in deze functie of heb je vragen, neem dan contact op met </w:t>
      </w:r>
      <w:r w:rsidR="005907B9" w:rsidRPr="00590992">
        <w:rPr>
          <w:szCs w:val="20"/>
        </w:rPr>
        <w:t>Wim Gijzen; 06</w:t>
      </w:r>
      <w:r w:rsidR="00ED15FA">
        <w:rPr>
          <w:szCs w:val="20"/>
        </w:rPr>
        <w:t xml:space="preserve"> - </w:t>
      </w:r>
      <w:r w:rsidR="005907B9" w:rsidRPr="00590992">
        <w:rPr>
          <w:szCs w:val="20"/>
        </w:rPr>
        <w:t xml:space="preserve">5324 1231 </w:t>
      </w:r>
      <w:hyperlink r:id="rId6" w:history="1">
        <w:r w:rsidR="005907B9" w:rsidRPr="00590992">
          <w:rPr>
            <w:rStyle w:val="Hyperlink"/>
            <w:szCs w:val="20"/>
          </w:rPr>
          <w:t>wjm.gijzen@ggdzhz.nl</w:t>
        </w:r>
      </w:hyperlink>
    </w:p>
    <w:p w14:paraId="0E7200B0" w14:textId="77777777" w:rsidR="005907B9" w:rsidRPr="00590992" w:rsidRDefault="005907B9" w:rsidP="00524E3C">
      <w:pPr>
        <w:rPr>
          <w:szCs w:val="20"/>
        </w:rPr>
      </w:pPr>
    </w:p>
    <w:sectPr w:rsidR="005907B9" w:rsidRPr="0059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3848"/>
    <w:multiLevelType w:val="hybridMultilevel"/>
    <w:tmpl w:val="B5B0A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ED2"/>
    <w:multiLevelType w:val="hybridMultilevel"/>
    <w:tmpl w:val="734CC05E"/>
    <w:lvl w:ilvl="0" w:tplc="C44AD5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3B9"/>
    <w:multiLevelType w:val="hybridMultilevel"/>
    <w:tmpl w:val="737862FE"/>
    <w:lvl w:ilvl="0" w:tplc="C44AD5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AA"/>
    <w:multiLevelType w:val="hybridMultilevel"/>
    <w:tmpl w:val="DBA60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2E8"/>
    <w:multiLevelType w:val="hybridMultilevel"/>
    <w:tmpl w:val="5526F6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697723">
    <w:abstractNumId w:val="4"/>
  </w:num>
  <w:num w:numId="2" w16cid:durableId="207376433">
    <w:abstractNumId w:val="3"/>
  </w:num>
  <w:num w:numId="3" w16cid:durableId="217593421">
    <w:abstractNumId w:val="1"/>
  </w:num>
  <w:num w:numId="4" w16cid:durableId="116922785">
    <w:abstractNumId w:val="0"/>
  </w:num>
  <w:num w:numId="5" w16cid:durableId="1970940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E8"/>
    <w:rsid w:val="00012C0F"/>
    <w:rsid w:val="000C5D0D"/>
    <w:rsid w:val="000E33F7"/>
    <w:rsid w:val="00190C5F"/>
    <w:rsid w:val="001914E8"/>
    <w:rsid w:val="001C17DD"/>
    <w:rsid w:val="001D03C4"/>
    <w:rsid w:val="001D44F4"/>
    <w:rsid w:val="002012A9"/>
    <w:rsid w:val="00223BAA"/>
    <w:rsid w:val="00236626"/>
    <w:rsid w:val="00272655"/>
    <w:rsid w:val="002972BD"/>
    <w:rsid w:val="002F7489"/>
    <w:rsid w:val="00382DAE"/>
    <w:rsid w:val="003F2340"/>
    <w:rsid w:val="00427F9E"/>
    <w:rsid w:val="00443D00"/>
    <w:rsid w:val="004779A4"/>
    <w:rsid w:val="004A4348"/>
    <w:rsid w:val="004D1D87"/>
    <w:rsid w:val="005142C7"/>
    <w:rsid w:val="00524E3C"/>
    <w:rsid w:val="00531151"/>
    <w:rsid w:val="0056679C"/>
    <w:rsid w:val="005907B9"/>
    <w:rsid w:val="00590992"/>
    <w:rsid w:val="00591F95"/>
    <w:rsid w:val="0063164D"/>
    <w:rsid w:val="00696461"/>
    <w:rsid w:val="006A1223"/>
    <w:rsid w:val="006A2ED2"/>
    <w:rsid w:val="006E2E53"/>
    <w:rsid w:val="00735F6B"/>
    <w:rsid w:val="007360DE"/>
    <w:rsid w:val="00761A39"/>
    <w:rsid w:val="00797358"/>
    <w:rsid w:val="007C1B14"/>
    <w:rsid w:val="00847C76"/>
    <w:rsid w:val="008557B3"/>
    <w:rsid w:val="008A5956"/>
    <w:rsid w:val="008B12E6"/>
    <w:rsid w:val="008C5F90"/>
    <w:rsid w:val="00922307"/>
    <w:rsid w:val="00946296"/>
    <w:rsid w:val="009A6C9F"/>
    <w:rsid w:val="00A63D3A"/>
    <w:rsid w:val="00A9450E"/>
    <w:rsid w:val="00AD54F5"/>
    <w:rsid w:val="00AE6B03"/>
    <w:rsid w:val="00B36826"/>
    <w:rsid w:val="00B37E4B"/>
    <w:rsid w:val="00B748A4"/>
    <w:rsid w:val="00BA5BD2"/>
    <w:rsid w:val="00C05710"/>
    <w:rsid w:val="00C25D29"/>
    <w:rsid w:val="00C30901"/>
    <w:rsid w:val="00C4482E"/>
    <w:rsid w:val="00C72151"/>
    <w:rsid w:val="00D1230D"/>
    <w:rsid w:val="00D23844"/>
    <w:rsid w:val="00D7146C"/>
    <w:rsid w:val="00DD19DD"/>
    <w:rsid w:val="00E05DB6"/>
    <w:rsid w:val="00E13165"/>
    <w:rsid w:val="00ED15FA"/>
    <w:rsid w:val="00ED465F"/>
    <w:rsid w:val="00F06074"/>
    <w:rsid w:val="00F27A59"/>
    <w:rsid w:val="00F4229D"/>
    <w:rsid w:val="00F66314"/>
    <w:rsid w:val="00FA0CE3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213"/>
  <w15:chartTrackingRefBased/>
  <w15:docId w15:val="{0F07D462-E5BE-44A0-ACA0-D6161E4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4E8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1914E8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1914E8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Standaardalinea-lettertype"/>
    <w:uiPriority w:val="99"/>
    <w:unhideWhenUsed/>
    <w:rsid w:val="005907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0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m.gijzen@ggdzh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Gijzen</dc:creator>
  <cp:keywords/>
  <dc:description/>
  <cp:lastModifiedBy>Schiedon, Tamara</cp:lastModifiedBy>
  <cp:revision>2</cp:revision>
  <dcterms:created xsi:type="dcterms:W3CDTF">2022-11-02T12:32:00Z</dcterms:created>
  <dcterms:modified xsi:type="dcterms:W3CDTF">2022-11-02T12:32:00Z</dcterms:modified>
</cp:coreProperties>
</file>